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55A6" w:rsidRDefault="00A255A6" w:rsidP="00A255A6">
      <w:pPr>
        <w:pStyle w:val="Default"/>
      </w:pPr>
    </w:p>
    <w:p w:rsidR="00A255A6" w:rsidRPr="00A255A6" w:rsidRDefault="00A255A6" w:rsidP="00A255A6">
      <w:pPr>
        <w:pStyle w:val="Default"/>
        <w:numPr>
          <w:ilvl w:val="0"/>
          <w:numId w:val="1"/>
        </w:numPr>
        <w:jc w:val="center"/>
        <w:rPr>
          <w:b/>
          <w:sz w:val="28"/>
          <w:szCs w:val="28"/>
          <w:u w:val="single"/>
        </w:rPr>
      </w:pPr>
      <w:r w:rsidRPr="00A255A6">
        <w:rPr>
          <w:b/>
          <w:sz w:val="28"/>
          <w:szCs w:val="28"/>
          <w:u w:val="single"/>
        </w:rPr>
        <w:t xml:space="preserve">Instalované </w:t>
      </w:r>
      <w:proofErr w:type="spellStart"/>
      <w:r w:rsidRPr="00A255A6">
        <w:rPr>
          <w:b/>
          <w:sz w:val="28"/>
          <w:szCs w:val="28"/>
          <w:u w:val="single"/>
        </w:rPr>
        <w:t>fotovoltaické</w:t>
      </w:r>
      <w:proofErr w:type="spellEnd"/>
      <w:r w:rsidRPr="00A255A6">
        <w:rPr>
          <w:b/>
          <w:sz w:val="28"/>
          <w:szCs w:val="28"/>
          <w:u w:val="single"/>
        </w:rPr>
        <w:t xml:space="preserve"> moduly a měniče musí dosahovat minimálně níže uvedených účinností: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053"/>
        <w:gridCol w:w="3053"/>
      </w:tblGrid>
      <w:tr w:rsidR="00A255A6" w:rsidRPr="00A255A6">
        <w:trPr>
          <w:trHeight w:val="93"/>
        </w:trPr>
        <w:tc>
          <w:tcPr>
            <w:tcW w:w="3053" w:type="dxa"/>
          </w:tcPr>
          <w:p w:rsidR="00A255A6" w:rsidRDefault="00A255A6" w:rsidP="00A255A6">
            <w:pPr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</w:rPr>
            </w:pPr>
          </w:p>
          <w:p w:rsidR="00A255A6" w:rsidRDefault="00A255A6" w:rsidP="00A255A6">
            <w:pPr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</w:rPr>
            </w:pPr>
          </w:p>
          <w:p w:rsidR="00A255A6" w:rsidRDefault="00A255A6" w:rsidP="00A255A6">
            <w:pPr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</w:rPr>
            </w:pPr>
            <w:r w:rsidRPr="00A255A6"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</w:rPr>
              <w:t xml:space="preserve">Technologie </w:t>
            </w:r>
          </w:p>
          <w:p w:rsidR="00A255A6" w:rsidRDefault="00A255A6" w:rsidP="00A255A6">
            <w:pPr>
              <w:pBdr>
                <w:bottom w:val="single" w:sz="6" w:space="1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</w:rPr>
            </w:pPr>
          </w:p>
          <w:p w:rsidR="00A255A6" w:rsidRDefault="00A255A6" w:rsidP="00A255A6">
            <w:pPr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</w:rPr>
            </w:pPr>
          </w:p>
          <w:p w:rsidR="00A255A6" w:rsidRDefault="00A255A6" w:rsidP="00A255A6">
            <w:pPr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</w:rPr>
            </w:pPr>
          </w:p>
          <w:p w:rsidR="00A255A6" w:rsidRDefault="00A255A6" w:rsidP="00A255A6">
            <w:pPr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</w:rPr>
            </w:pPr>
          </w:p>
          <w:p w:rsidR="00A255A6" w:rsidRPr="00A255A6" w:rsidRDefault="00A255A6" w:rsidP="00A255A6">
            <w:pPr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</w:rPr>
              <w:t>Fotovoltaické</w:t>
            </w:r>
            <w:proofErr w:type="spellEnd"/>
            <w:r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</w:rPr>
              <w:t xml:space="preserve"> moduly při standardních testovacích podmínkách (STC)</w:t>
            </w:r>
          </w:p>
        </w:tc>
        <w:tc>
          <w:tcPr>
            <w:tcW w:w="3053" w:type="dxa"/>
          </w:tcPr>
          <w:p w:rsidR="00A255A6" w:rsidRDefault="00A255A6" w:rsidP="00A255A6">
            <w:pPr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</w:rPr>
            </w:pPr>
          </w:p>
          <w:p w:rsidR="00A255A6" w:rsidRDefault="00A255A6" w:rsidP="00A255A6">
            <w:pPr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</w:rPr>
            </w:pPr>
          </w:p>
          <w:p w:rsidR="00A255A6" w:rsidRDefault="00A255A6" w:rsidP="00A255A6">
            <w:pPr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</w:rPr>
            </w:pPr>
            <w:r w:rsidRPr="00A255A6"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</w:rPr>
              <w:t xml:space="preserve">Minimální účinnost </w:t>
            </w:r>
          </w:p>
          <w:p w:rsidR="00A255A6" w:rsidRDefault="00A255A6" w:rsidP="00A255A6">
            <w:pPr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</w:rPr>
            </w:pPr>
          </w:p>
          <w:p w:rsidR="00A255A6" w:rsidRDefault="00A255A6" w:rsidP="00A255A6">
            <w:pPr>
              <w:pStyle w:val="Default"/>
              <w:rPr>
                <w:color w:val="auto"/>
              </w:rPr>
            </w:pPr>
          </w:p>
          <w:p w:rsidR="00A255A6" w:rsidRDefault="00A255A6" w:rsidP="00A255A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- 19,0 % pro </w:t>
            </w:r>
            <w:proofErr w:type="spellStart"/>
            <w:r>
              <w:rPr>
                <w:sz w:val="20"/>
                <w:szCs w:val="20"/>
              </w:rPr>
              <w:t>monofaciální</w:t>
            </w:r>
            <w:proofErr w:type="spellEnd"/>
            <w:r>
              <w:rPr>
                <w:sz w:val="20"/>
                <w:szCs w:val="20"/>
              </w:rPr>
              <w:t xml:space="preserve"> moduly z monokrystalického křemíku, </w:t>
            </w:r>
          </w:p>
          <w:p w:rsidR="00A255A6" w:rsidRDefault="00A255A6" w:rsidP="00A255A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- 18,0 % pro </w:t>
            </w:r>
            <w:proofErr w:type="spellStart"/>
            <w:r>
              <w:rPr>
                <w:sz w:val="20"/>
                <w:szCs w:val="20"/>
              </w:rPr>
              <w:t>monofaciální</w:t>
            </w:r>
            <w:proofErr w:type="spellEnd"/>
            <w:r>
              <w:rPr>
                <w:sz w:val="20"/>
                <w:szCs w:val="20"/>
              </w:rPr>
              <w:t xml:space="preserve"> moduly z </w:t>
            </w:r>
            <w:proofErr w:type="spellStart"/>
            <w:r>
              <w:rPr>
                <w:sz w:val="20"/>
                <w:szCs w:val="20"/>
              </w:rPr>
              <w:t>multikrystalického</w:t>
            </w:r>
            <w:proofErr w:type="spellEnd"/>
            <w:r>
              <w:rPr>
                <w:sz w:val="20"/>
                <w:szCs w:val="20"/>
              </w:rPr>
              <w:t xml:space="preserve"> křemíku, </w:t>
            </w:r>
          </w:p>
          <w:p w:rsidR="00A255A6" w:rsidRDefault="00A255A6" w:rsidP="00A255A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- 19,0 % pro bifaciální moduly při 0 % bifaciálním zisku, </w:t>
            </w:r>
          </w:p>
          <w:p w:rsidR="00A255A6" w:rsidRDefault="00A255A6" w:rsidP="00A255A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- 12,0 % pro tenkovrstvé moduly, </w:t>
            </w:r>
          </w:p>
          <w:p w:rsidR="00A255A6" w:rsidRDefault="00A255A6" w:rsidP="00A255A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nestanoveno pro speciální výrobky a použití10. </w:t>
            </w:r>
          </w:p>
          <w:p w:rsidR="00A255A6" w:rsidRDefault="00A255A6" w:rsidP="00A255A6">
            <w:pPr>
              <w:pStyle w:val="Default"/>
              <w:rPr>
                <w:sz w:val="20"/>
                <w:szCs w:val="20"/>
              </w:rPr>
            </w:pPr>
          </w:p>
          <w:p w:rsidR="00A255A6" w:rsidRDefault="00A255A6" w:rsidP="00A255A6">
            <w:pPr>
              <w:pStyle w:val="Default"/>
              <w:rPr>
                <w:sz w:val="20"/>
                <w:szCs w:val="20"/>
              </w:rPr>
            </w:pPr>
          </w:p>
          <w:p w:rsidR="00A255A6" w:rsidRPr="00A255A6" w:rsidRDefault="00A255A6" w:rsidP="00A255A6">
            <w:pPr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color w:val="000000"/>
                <w:sz w:val="20"/>
                <w:szCs w:val="20"/>
              </w:rPr>
            </w:pPr>
          </w:p>
        </w:tc>
      </w:tr>
    </w:tbl>
    <w:p w:rsidR="003C0E2A" w:rsidRDefault="003C0E2A" w:rsidP="00A255A6">
      <w:pPr>
        <w:pBdr>
          <w:bottom w:val="single" w:sz="6" w:space="2" w:color="auto"/>
        </w:pBdr>
      </w:pP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093"/>
        <w:gridCol w:w="3093"/>
      </w:tblGrid>
      <w:tr w:rsidR="00A255A6" w:rsidRPr="00A255A6">
        <w:trPr>
          <w:trHeight w:val="93"/>
        </w:trPr>
        <w:tc>
          <w:tcPr>
            <w:tcW w:w="3093" w:type="dxa"/>
          </w:tcPr>
          <w:p w:rsidR="00A255A6" w:rsidRPr="00A255A6" w:rsidRDefault="00A255A6" w:rsidP="00A255A6">
            <w:pPr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 w:val="20"/>
                <w:szCs w:val="20"/>
              </w:rPr>
            </w:pPr>
            <w:r w:rsidRPr="00A255A6">
              <w:rPr>
                <w:rFonts w:ascii="Segoe UI" w:hAnsi="Segoe UI" w:cs="Segoe UI"/>
                <w:b/>
                <w:color w:val="000000"/>
                <w:sz w:val="20"/>
                <w:szCs w:val="20"/>
              </w:rPr>
              <w:t xml:space="preserve">Měniče </w:t>
            </w:r>
          </w:p>
        </w:tc>
        <w:tc>
          <w:tcPr>
            <w:tcW w:w="3093" w:type="dxa"/>
          </w:tcPr>
          <w:p w:rsidR="00A255A6" w:rsidRPr="00A255A6" w:rsidRDefault="00A255A6" w:rsidP="00A255A6">
            <w:pPr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color w:val="000000"/>
                <w:sz w:val="20"/>
                <w:szCs w:val="20"/>
              </w:rPr>
            </w:pPr>
            <w:r w:rsidRPr="00A255A6">
              <w:rPr>
                <w:rFonts w:ascii="Segoe UI" w:hAnsi="Segoe UI" w:cs="Segoe UI"/>
                <w:color w:val="000000"/>
                <w:sz w:val="20"/>
                <w:szCs w:val="20"/>
              </w:rPr>
              <w:t xml:space="preserve">97,0 % (Euro účinnost) </w:t>
            </w:r>
          </w:p>
        </w:tc>
      </w:tr>
    </w:tbl>
    <w:p w:rsidR="00A255A6" w:rsidRDefault="00A255A6"/>
    <w:p w:rsidR="00A255A6" w:rsidRPr="00A255A6" w:rsidRDefault="00A255A6" w:rsidP="00A255A6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24"/>
          <w:szCs w:val="24"/>
        </w:rPr>
      </w:pPr>
    </w:p>
    <w:p w:rsidR="00A255A6" w:rsidRDefault="00A255A6" w:rsidP="00A255A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20"/>
          <w:szCs w:val="20"/>
        </w:rPr>
      </w:pPr>
      <w:r w:rsidRPr="00A255A6">
        <w:rPr>
          <w:rFonts w:ascii="Segoe UI" w:hAnsi="Segoe UI" w:cs="Segoe UI"/>
          <w:color w:val="000000"/>
          <w:sz w:val="20"/>
          <w:szCs w:val="20"/>
        </w:rPr>
        <w:t xml:space="preserve">Při realizaci mohou být použity výhradně komponenty s garantovanou životností: </w:t>
      </w:r>
    </w:p>
    <w:p w:rsidR="00A255A6" w:rsidRPr="00A255A6" w:rsidRDefault="00A255A6" w:rsidP="00A255A6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20"/>
          <w:szCs w:val="20"/>
        </w:rPr>
      </w:pP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479"/>
        <w:gridCol w:w="3479"/>
      </w:tblGrid>
      <w:tr w:rsidR="00A255A6" w:rsidRPr="00A255A6">
        <w:trPr>
          <w:trHeight w:val="93"/>
        </w:trPr>
        <w:tc>
          <w:tcPr>
            <w:tcW w:w="3479" w:type="dxa"/>
          </w:tcPr>
          <w:p w:rsidR="00A255A6" w:rsidRPr="00A255A6" w:rsidRDefault="00A255A6" w:rsidP="00A255A6">
            <w:pPr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color w:val="000000"/>
                <w:sz w:val="20"/>
                <w:szCs w:val="20"/>
              </w:rPr>
            </w:pPr>
            <w:r w:rsidRPr="00A255A6"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</w:rPr>
              <w:t xml:space="preserve">Technologie </w:t>
            </w:r>
          </w:p>
        </w:tc>
        <w:tc>
          <w:tcPr>
            <w:tcW w:w="3479" w:type="dxa"/>
          </w:tcPr>
          <w:p w:rsidR="00A255A6" w:rsidRPr="00A255A6" w:rsidRDefault="00A255A6" w:rsidP="00A255A6">
            <w:pPr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color w:val="000000"/>
                <w:sz w:val="20"/>
                <w:szCs w:val="20"/>
              </w:rPr>
            </w:pPr>
            <w:r w:rsidRPr="00A255A6"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</w:rPr>
              <w:t xml:space="preserve">Požadované zajištění životnosti </w:t>
            </w:r>
          </w:p>
        </w:tc>
      </w:tr>
    </w:tbl>
    <w:p w:rsidR="00A255A6" w:rsidRPr="00A255A6" w:rsidRDefault="00A255A6" w:rsidP="00A255A6">
      <w:pPr>
        <w:pStyle w:val="Default"/>
        <w:rPr>
          <w:color w:val="auto"/>
        </w:rPr>
      </w:pPr>
      <w:r>
        <w:t xml:space="preserve">                                                         </w:t>
      </w:r>
    </w:p>
    <w:p w:rsidR="00A255A6" w:rsidRDefault="00A255A6" w:rsidP="00A255A6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20"/>
          <w:szCs w:val="20"/>
        </w:rPr>
      </w:pPr>
    </w:p>
    <w:p w:rsidR="00A255A6" w:rsidRPr="00A255A6" w:rsidRDefault="00A255A6" w:rsidP="00A255A6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000000"/>
          <w:sz w:val="20"/>
          <w:szCs w:val="20"/>
        </w:rPr>
      </w:pPr>
      <w:r>
        <w:rPr>
          <w:rFonts w:ascii="Segoe UI" w:hAnsi="Segoe UI" w:cs="Segoe UI"/>
          <w:color w:val="000000"/>
          <w:sz w:val="20"/>
          <w:szCs w:val="20"/>
        </w:rPr>
        <w:t xml:space="preserve"> </w:t>
      </w:r>
      <w:proofErr w:type="spellStart"/>
      <w:r w:rsidRPr="00A255A6">
        <w:rPr>
          <w:rFonts w:ascii="Segoe UI" w:hAnsi="Segoe UI" w:cs="Segoe UI"/>
          <w:b/>
          <w:color w:val="000000"/>
          <w:sz w:val="20"/>
          <w:szCs w:val="20"/>
        </w:rPr>
        <w:t>Fotovoltaické</w:t>
      </w:r>
      <w:proofErr w:type="spellEnd"/>
      <w:r w:rsidRPr="00A255A6">
        <w:rPr>
          <w:rFonts w:ascii="Segoe UI" w:hAnsi="Segoe UI" w:cs="Segoe UI"/>
          <w:b/>
          <w:color w:val="000000"/>
          <w:sz w:val="20"/>
          <w:szCs w:val="20"/>
        </w:rPr>
        <w:t xml:space="preserve"> moduly:  </w:t>
      </w:r>
    </w:p>
    <w:p w:rsidR="00A255A6" w:rsidRDefault="00A255A6" w:rsidP="00A255A6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20"/>
          <w:szCs w:val="20"/>
        </w:rPr>
      </w:pPr>
      <w:r>
        <w:rPr>
          <w:rFonts w:ascii="Segoe UI" w:hAnsi="Segoe UI" w:cs="Segoe UI"/>
          <w:color w:val="000000"/>
          <w:sz w:val="20"/>
          <w:szCs w:val="20"/>
        </w:rPr>
        <w:t xml:space="preserve">                                                </w:t>
      </w:r>
      <w:r w:rsidRPr="00A255A6">
        <w:rPr>
          <w:rFonts w:ascii="Segoe UI" w:hAnsi="Segoe UI" w:cs="Segoe UI"/>
          <w:color w:val="000000"/>
          <w:sz w:val="20"/>
          <w:szCs w:val="20"/>
        </w:rPr>
        <w:t>min. 20letá lineární záruk</w:t>
      </w:r>
      <w:r w:rsidR="00703F2C">
        <w:rPr>
          <w:rFonts w:ascii="Segoe UI" w:hAnsi="Segoe UI" w:cs="Segoe UI"/>
          <w:color w:val="000000"/>
          <w:sz w:val="20"/>
          <w:szCs w:val="20"/>
        </w:rPr>
        <w:t>a na výkon s max. poklesem na 80</w:t>
      </w:r>
      <w:r w:rsidRPr="00A255A6">
        <w:rPr>
          <w:rFonts w:ascii="Segoe UI" w:hAnsi="Segoe UI" w:cs="Segoe UI"/>
          <w:color w:val="000000"/>
          <w:sz w:val="20"/>
          <w:szCs w:val="20"/>
        </w:rPr>
        <w:t xml:space="preserve"> % </w:t>
      </w:r>
    </w:p>
    <w:p w:rsidR="00A255A6" w:rsidRPr="00A255A6" w:rsidRDefault="00A255A6" w:rsidP="00A255A6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20"/>
          <w:szCs w:val="20"/>
        </w:rPr>
      </w:pPr>
      <w:r>
        <w:rPr>
          <w:rFonts w:ascii="Segoe UI" w:hAnsi="Segoe UI" w:cs="Segoe UI"/>
          <w:color w:val="000000"/>
          <w:sz w:val="20"/>
          <w:szCs w:val="20"/>
        </w:rPr>
        <w:t xml:space="preserve">                                                </w:t>
      </w:r>
      <w:proofErr w:type="gramStart"/>
      <w:r w:rsidRPr="00A255A6">
        <w:rPr>
          <w:rFonts w:ascii="Segoe UI" w:hAnsi="Segoe UI" w:cs="Segoe UI"/>
          <w:color w:val="000000"/>
          <w:sz w:val="20"/>
          <w:szCs w:val="20"/>
        </w:rPr>
        <w:t xml:space="preserve">původního </w:t>
      </w:r>
      <w:r>
        <w:rPr>
          <w:rFonts w:ascii="Segoe UI" w:hAnsi="Segoe UI" w:cs="Segoe UI"/>
          <w:color w:val="000000"/>
          <w:sz w:val="20"/>
          <w:szCs w:val="20"/>
        </w:rPr>
        <w:t xml:space="preserve">  </w:t>
      </w:r>
      <w:r w:rsidRPr="00A255A6">
        <w:rPr>
          <w:rFonts w:ascii="Segoe UI" w:hAnsi="Segoe UI" w:cs="Segoe UI"/>
          <w:color w:val="000000"/>
          <w:sz w:val="20"/>
          <w:szCs w:val="20"/>
        </w:rPr>
        <w:t>výkonu</w:t>
      </w:r>
      <w:proofErr w:type="gramEnd"/>
      <w:r w:rsidRPr="00A255A6">
        <w:rPr>
          <w:rFonts w:ascii="Segoe UI" w:hAnsi="Segoe UI" w:cs="Segoe UI"/>
          <w:color w:val="000000"/>
          <w:sz w:val="20"/>
          <w:szCs w:val="20"/>
        </w:rPr>
        <w:t xml:space="preserve"> </w:t>
      </w:r>
      <w:r>
        <w:rPr>
          <w:rFonts w:ascii="Segoe UI" w:hAnsi="Segoe UI" w:cs="Segoe UI"/>
          <w:color w:val="000000"/>
          <w:sz w:val="20"/>
          <w:szCs w:val="20"/>
        </w:rPr>
        <w:t xml:space="preserve">  </w:t>
      </w:r>
      <w:r w:rsidRPr="00A255A6">
        <w:rPr>
          <w:rFonts w:ascii="Segoe UI" w:hAnsi="Segoe UI" w:cs="Segoe UI"/>
          <w:color w:val="000000"/>
          <w:sz w:val="20"/>
          <w:szCs w:val="20"/>
        </w:rPr>
        <w:t xml:space="preserve">garantovanou výrobcem </w:t>
      </w:r>
    </w:p>
    <w:p w:rsidR="00A255A6" w:rsidRPr="00A255A6" w:rsidRDefault="00A255A6" w:rsidP="00A255A6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20"/>
          <w:szCs w:val="20"/>
        </w:rPr>
      </w:pPr>
      <w:r w:rsidRPr="00A255A6">
        <w:rPr>
          <w:rFonts w:ascii="Segoe UI" w:hAnsi="Segoe UI" w:cs="Segoe UI"/>
          <w:color w:val="000000"/>
          <w:sz w:val="20"/>
          <w:szCs w:val="20"/>
        </w:rPr>
        <w:t xml:space="preserve">                                    </w:t>
      </w:r>
      <w:r>
        <w:rPr>
          <w:rFonts w:ascii="Segoe UI" w:hAnsi="Segoe UI" w:cs="Segoe UI"/>
          <w:color w:val="000000"/>
          <w:sz w:val="20"/>
          <w:szCs w:val="20"/>
        </w:rPr>
        <w:t xml:space="preserve">            </w:t>
      </w:r>
      <w:r w:rsidRPr="00A255A6">
        <w:rPr>
          <w:rFonts w:ascii="Segoe UI" w:hAnsi="Segoe UI" w:cs="Segoe UI"/>
          <w:color w:val="000000"/>
          <w:sz w:val="20"/>
          <w:szCs w:val="20"/>
        </w:rPr>
        <w:t xml:space="preserve">min. 10letá produktová záruka garantovaná výrobcem </w:t>
      </w:r>
    </w:p>
    <w:p w:rsidR="00A255A6" w:rsidRDefault="00A255A6" w:rsidP="00A255A6">
      <w:pPr>
        <w:pStyle w:val="Odstavecseseznamem"/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20"/>
          <w:szCs w:val="20"/>
        </w:rPr>
      </w:pPr>
    </w:p>
    <w:p w:rsidR="00A255A6" w:rsidRDefault="00A255A6" w:rsidP="00A255A6">
      <w:pPr>
        <w:pStyle w:val="Odstavecseseznamem"/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20"/>
          <w:szCs w:val="20"/>
        </w:rPr>
      </w:pPr>
    </w:p>
    <w:p w:rsidR="00A255A6" w:rsidRDefault="00A255A6" w:rsidP="00A255A6">
      <w:pPr>
        <w:pStyle w:val="Default"/>
        <w:rPr>
          <w:sz w:val="20"/>
          <w:szCs w:val="20"/>
        </w:rPr>
      </w:pPr>
      <w:proofErr w:type="gramStart"/>
      <w:r>
        <w:rPr>
          <w:b/>
          <w:sz w:val="20"/>
          <w:szCs w:val="20"/>
        </w:rPr>
        <w:t>Měniče :</w:t>
      </w:r>
      <w:r w:rsidRPr="00A255A6"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                   </w:t>
      </w:r>
      <w:r w:rsidRPr="00A255A6">
        <w:rPr>
          <w:sz w:val="20"/>
          <w:szCs w:val="20"/>
        </w:rPr>
        <w:t>záruka</w:t>
      </w:r>
      <w:proofErr w:type="gramEnd"/>
      <w:r w:rsidRPr="00A255A6">
        <w:rPr>
          <w:sz w:val="20"/>
          <w:szCs w:val="20"/>
        </w:rPr>
        <w:t xml:space="preserve"> výrobce či dodavatele trvající min. 10 let na jeho bezodkladnou výměnu</w:t>
      </w:r>
    </w:p>
    <w:p w:rsidR="00A255A6" w:rsidRDefault="00A255A6" w:rsidP="00A255A6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</w:t>
      </w:r>
      <w:r w:rsidRPr="00A255A6">
        <w:rPr>
          <w:sz w:val="20"/>
          <w:szCs w:val="20"/>
        </w:rPr>
        <w:t xml:space="preserve"> či adekvátní náhradu v případě poruchy či poškození </w:t>
      </w:r>
    </w:p>
    <w:p w:rsidR="00A255A6" w:rsidRDefault="00A255A6" w:rsidP="00A255A6">
      <w:pPr>
        <w:pStyle w:val="Default"/>
        <w:pBdr>
          <w:bottom w:val="single" w:sz="6" w:space="1" w:color="auto"/>
        </w:pBdr>
        <w:rPr>
          <w:sz w:val="20"/>
          <w:szCs w:val="20"/>
        </w:rPr>
      </w:pPr>
    </w:p>
    <w:p w:rsidR="00A255A6" w:rsidRDefault="00A255A6" w:rsidP="00A255A6">
      <w:pPr>
        <w:pStyle w:val="Default"/>
        <w:rPr>
          <w:sz w:val="20"/>
          <w:szCs w:val="20"/>
        </w:rPr>
      </w:pPr>
    </w:p>
    <w:p w:rsidR="00A255A6" w:rsidRDefault="00A255A6" w:rsidP="00A255A6">
      <w:pPr>
        <w:pStyle w:val="Default"/>
        <w:rPr>
          <w:sz w:val="20"/>
          <w:szCs w:val="20"/>
        </w:rPr>
      </w:pPr>
      <w:r w:rsidRPr="00A255A6">
        <w:rPr>
          <w:b/>
          <w:sz w:val="20"/>
          <w:szCs w:val="20"/>
        </w:rPr>
        <w:t xml:space="preserve">elektrické </w:t>
      </w:r>
      <w:proofErr w:type="gramStart"/>
      <w:r w:rsidRPr="00A255A6">
        <w:rPr>
          <w:b/>
          <w:sz w:val="20"/>
          <w:szCs w:val="20"/>
        </w:rPr>
        <w:t xml:space="preserve">akumulátory: </w:t>
      </w:r>
      <w:r>
        <w:rPr>
          <w:b/>
          <w:sz w:val="20"/>
          <w:szCs w:val="20"/>
        </w:rPr>
        <w:t xml:space="preserve">  </w:t>
      </w:r>
      <w:r w:rsidR="00703F2C">
        <w:rPr>
          <w:sz w:val="20"/>
          <w:szCs w:val="20"/>
        </w:rPr>
        <w:t>záruka</w:t>
      </w:r>
      <w:proofErr w:type="gramEnd"/>
      <w:r w:rsidR="00703F2C">
        <w:rPr>
          <w:sz w:val="20"/>
          <w:szCs w:val="20"/>
        </w:rPr>
        <w:t xml:space="preserve"> s max. poklesem na 6</w:t>
      </w:r>
      <w:bookmarkStart w:id="0" w:name="_GoBack"/>
      <w:bookmarkEnd w:id="0"/>
      <w:r>
        <w:rPr>
          <w:sz w:val="20"/>
          <w:szCs w:val="20"/>
        </w:rPr>
        <w:t>0</w:t>
      </w:r>
      <w:r w:rsidRPr="00A255A6">
        <w:rPr>
          <w:sz w:val="20"/>
          <w:szCs w:val="20"/>
        </w:rPr>
        <w:t xml:space="preserve">% nominální kapacity po 10 letech provozu, </w:t>
      </w:r>
    </w:p>
    <w:p w:rsidR="00A255A6" w:rsidRDefault="00A255A6" w:rsidP="00A255A6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</w:t>
      </w:r>
      <w:r w:rsidRPr="00A255A6">
        <w:rPr>
          <w:sz w:val="20"/>
          <w:szCs w:val="20"/>
        </w:rPr>
        <w:t>nebo dosažení min. 2 400násobku nominální energie (</w:t>
      </w:r>
      <w:proofErr w:type="spellStart"/>
      <w:r w:rsidRPr="00A255A6">
        <w:rPr>
          <w:sz w:val="20"/>
          <w:szCs w:val="20"/>
        </w:rPr>
        <w:t>Energy</w:t>
      </w:r>
      <w:proofErr w:type="spellEnd"/>
      <w:r w:rsidRPr="00A255A6">
        <w:rPr>
          <w:sz w:val="20"/>
          <w:szCs w:val="20"/>
        </w:rPr>
        <w:t xml:space="preserve"> </w:t>
      </w:r>
      <w:proofErr w:type="spellStart"/>
      <w:r w:rsidRPr="00A255A6">
        <w:rPr>
          <w:sz w:val="20"/>
          <w:szCs w:val="20"/>
        </w:rPr>
        <w:t>Throughput</w:t>
      </w:r>
      <w:proofErr w:type="spellEnd"/>
      <w:r>
        <w:rPr>
          <w:sz w:val="20"/>
          <w:szCs w:val="20"/>
        </w:rPr>
        <w:t>)</w:t>
      </w:r>
    </w:p>
    <w:p w:rsidR="00A255A6" w:rsidRDefault="00A255A6" w:rsidP="00A255A6">
      <w:pPr>
        <w:pStyle w:val="Default"/>
        <w:pBdr>
          <w:bottom w:val="single" w:sz="6" w:space="1" w:color="auto"/>
        </w:pBdr>
        <w:rPr>
          <w:sz w:val="20"/>
          <w:szCs w:val="20"/>
        </w:rPr>
      </w:pPr>
    </w:p>
    <w:p w:rsidR="00A255A6" w:rsidRDefault="00A255A6" w:rsidP="00A255A6">
      <w:pPr>
        <w:pStyle w:val="Default"/>
        <w:rPr>
          <w:sz w:val="20"/>
          <w:szCs w:val="20"/>
        </w:rPr>
      </w:pPr>
    </w:p>
    <w:p w:rsidR="00A255A6" w:rsidRPr="00A255A6" w:rsidRDefault="00A255A6" w:rsidP="00A255A6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24"/>
          <w:szCs w:val="24"/>
        </w:rPr>
      </w:pPr>
    </w:p>
    <w:p w:rsidR="00A255A6" w:rsidRPr="00A255A6" w:rsidRDefault="00A255A6" w:rsidP="00A255A6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20"/>
          <w:szCs w:val="20"/>
        </w:rPr>
      </w:pPr>
      <w:r w:rsidRPr="00A255A6">
        <w:rPr>
          <w:rFonts w:ascii="Segoe UI" w:hAnsi="Segoe UI" w:cs="Segoe UI"/>
          <w:color w:val="000000"/>
          <w:sz w:val="20"/>
          <w:szCs w:val="20"/>
        </w:rPr>
        <w:t xml:space="preserve">Instalované měniče musí být vybaveny plynulou, nebo diskrétní řiditelností dodávaného výkonu do elektrizační soustavy umožňující změnu dodávaného výkonu výrobny </w:t>
      </w:r>
    </w:p>
    <w:p w:rsidR="00A255A6" w:rsidRPr="00A255A6" w:rsidRDefault="00A255A6" w:rsidP="00A255A6">
      <w:pPr>
        <w:pStyle w:val="Default"/>
        <w:rPr>
          <w:color w:val="auto"/>
        </w:rPr>
      </w:pPr>
    </w:p>
    <w:p w:rsidR="00A255A6" w:rsidRPr="00A255A6" w:rsidRDefault="00A255A6" w:rsidP="00A255A6">
      <w:pPr>
        <w:pStyle w:val="Default"/>
        <w:rPr>
          <w:b/>
          <w:color w:val="auto"/>
        </w:rPr>
      </w:pPr>
    </w:p>
    <w:p w:rsidR="00A255A6" w:rsidRPr="00A255A6" w:rsidRDefault="00A255A6" w:rsidP="00A255A6">
      <w:pPr>
        <w:pStyle w:val="Odstavecseseznamem"/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20"/>
          <w:szCs w:val="20"/>
        </w:rPr>
      </w:pPr>
    </w:p>
    <w:p w:rsidR="00A255A6" w:rsidRDefault="00A255A6"/>
    <w:sectPr w:rsidR="00A255A6" w:rsidSect="008B7B06">
      <w:pgSz w:w="11906" w:h="17338"/>
      <w:pgMar w:top="1237" w:right="941" w:bottom="503" w:left="122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B92159DC"/>
    <w:multiLevelType w:val="hybridMultilevel"/>
    <w:tmpl w:val="4A0DFE1E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265E093"/>
    <w:multiLevelType w:val="hybridMultilevel"/>
    <w:tmpl w:val="680B012C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82CE9FE"/>
    <w:multiLevelType w:val="hybridMultilevel"/>
    <w:tmpl w:val="C47B5A1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79E235AA"/>
    <w:multiLevelType w:val="hybridMultilevel"/>
    <w:tmpl w:val="5352F108"/>
    <w:lvl w:ilvl="0" w:tplc="BF4AECB4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5A6"/>
    <w:rsid w:val="003C0E2A"/>
    <w:rsid w:val="00703F2C"/>
    <w:rsid w:val="00A25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1EC3C0-70C5-42C3-B472-1C8895324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A255A6"/>
    <w:pPr>
      <w:autoSpaceDE w:val="0"/>
      <w:autoSpaceDN w:val="0"/>
      <w:adjustRightInd w:val="0"/>
      <w:spacing w:after="0" w:line="240" w:lineRule="auto"/>
    </w:pPr>
    <w:rPr>
      <w:rFonts w:ascii="Segoe UI" w:hAnsi="Segoe UI" w:cs="Segoe UI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A255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236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Účet Microsoft</dc:creator>
  <cp:keywords/>
  <dc:description/>
  <cp:lastModifiedBy>Účet Microsoft</cp:lastModifiedBy>
  <cp:revision>3</cp:revision>
  <cp:lastPrinted>2023-03-08T16:10:00Z</cp:lastPrinted>
  <dcterms:created xsi:type="dcterms:W3CDTF">2023-03-08T16:04:00Z</dcterms:created>
  <dcterms:modified xsi:type="dcterms:W3CDTF">2023-08-31T06:54:00Z</dcterms:modified>
</cp:coreProperties>
</file>